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C86B" w14:textId="459610F7" w:rsidR="00565C64" w:rsidRPr="00113E22" w:rsidRDefault="00113E22" w:rsidP="00113E22">
      <w:pPr>
        <w:pStyle w:val="Kop1"/>
        <w:rPr>
          <w:lang w:val="en-GB"/>
        </w:rPr>
      </w:pPr>
      <w:r w:rsidRPr="00113E22">
        <w:rPr>
          <w:lang w:val="en-GB"/>
        </w:rPr>
        <w:t xml:space="preserve">BSAC </w:t>
      </w:r>
      <w:r>
        <w:rPr>
          <w:lang w:val="en-GB"/>
        </w:rPr>
        <w:t>Spring conference (</w:t>
      </w:r>
      <w:r>
        <w:rPr>
          <w:lang w:val="en-GB"/>
        </w:rPr>
        <w:br/>
        <w:t>B</w:t>
      </w:r>
      <w:r w:rsidRPr="001E249A">
        <w:rPr>
          <w:lang w:val="en-GB"/>
        </w:rPr>
        <w:t>ritish Society for Antimicrobial Chemotherapy</w:t>
      </w:r>
      <w:r>
        <w:rPr>
          <w:lang w:val="en-GB"/>
        </w:rPr>
        <w:t>)</w:t>
      </w:r>
    </w:p>
    <w:p w14:paraId="1C2F532F" w14:textId="5E96F13D" w:rsidR="00113E22" w:rsidRPr="00113E22" w:rsidRDefault="00113E22">
      <w:pPr>
        <w:rPr>
          <w:lang w:val="en-GB"/>
        </w:rPr>
      </w:pPr>
    </w:p>
    <w:p w14:paraId="545D0CC3" w14:textId="77777777" w:rsidR="00113E22" w:rsidRDefault="00113E22" w:rsidP="00113E22">
      <w:pPr>
        <w:pStyle w:val="Kop2"/>
        <w:rPr>
          <w:lang w:val="en-GB"/>
        </w:rPr>
      </w:pPr>
      <w:r>
        <w:rPr>
          <w:lang w:val="en-GB"/>
        </w:rPr>
        <w:t xml:space="preserve">29 </w:t>
      </w:r>
      <w:proofErr w:type="spellStart"/>
      <w:r>
        <w:rPr>
          <w:lang w:val="en-GB"/>
        </w:rPr>
        <w:t>april</w:t>
      </w:r>
      <w:proofErr w:type="spellEnd"/>
      <w:r>
        <w:rPr>
          <w:lang w:val="en-GB"/>
        </w:rPr>
        <w:t xml:space="preserve"> 2021</w:t>
      </w:r>
    </w:p>
    <w:p w14:paraId="10BF8370" w14:textId="77777777" w:rsidR="00113E22" w:rsidRDefault="00113E22" w:rsidP="00113E22">
      <w:pPr>
        <w:rPr>
          <w:color w:val="1F497D"/>
          <w:lang w:val="en-GB"/>
        </w:rPr>
      </w:pPr>
    </w:p>
    <w:p w14:paraId="1E221710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 w:eastAsia="nl-NL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0950</w:t>
      </w:r>
    </w:p>
    <w:p w14:paraId="1CDB7D35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Welcome and opening remarks</w:t>
      </w:r>
    </w:p>
    <w:p w14:paraId="2B5F1D2B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David Jenkins, Lead Infection Prevention Clinician, University Hospital Leicester &amp; BSAC Vice-President</w:t>
      </w:r>
    </w:p>
    <w:p w14:paraId="7AEEB5F6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4A04AF60">
          <v:rect id="_x0000_i1025" style="width:470.3pt;height:.45pt" o:hralign="center" o:hrstd="t" o:hr="t" fillcolor="#a0a0a0" stroked="f"/>
        </w:pict>
      </w:r>
    </w:p>
    <w:p w14:paraId="32C7992D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KEYNOTE LECTURE</w:t>
      </w:r>
    </w:p>
    <w:p w14:paraId="2E4C2219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Chair: Dr David Jenkins, Lead Infection Prevention Clinician, University Hospital Leicester &amp; BSAC Vice-President</w:t>
      </w:r>
    </w:p>
    <w:p w14:paraId="39C4EF40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1000</w:t>
      </w:r>
    </w:p>
    <w:p w14:paraId="531B3FBE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State of the nation: COVID and AMR</w:t>
      </w:r>
    </w:p>
    <w:p w14:paraId="57693F87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Susan Hopkins, Consultant, PHE/ DHSC / Royal Free Hospital - </w:t>
      </w:r>
      <w:hyperlink r:id="rId4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7BB70045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1020</w:t>
      </w:r>
    </w:p>
    <w:p w14:paraId="36925C4A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Q&amp;A</w:t>
      </w:r>
    </w:p>
    <w:p w14:paraId="27EB5B3A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30C8C9F2">
          <v:rect id="_x0000_i1026" style="width:470.3pt;height:.45pt" o:hralign="center" o:hrstd="t" o:hr="t" fillcolor="#a0a0a0" stroked="f"/>
        </w:pict>
      </w:r>
    </w:p>
    <w:p w14:paraId="0B177978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ONE: SPOTLIGHT ON AMR AND INFECTION MANAGEMENT - GLOBAL ISSUES</w:t>
      </w:r>
    </w:p>
    <w:p w14:paraId="1E9BA951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Chair: Dr Nick Brown, Consultant Microbiologist, Cambridge University Hospitals NHS Trust - </w:t>
      </w:r>
      <w:hyperlink r:id="rId5" w:tgtFrame="_blank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54BB4F28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1030</w:t>
      </w:r>
    </w:p>
    <w:p w14:paraId="30D89D5B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Global trends in antimicrobial use and resistance in animals</w:t>
      </w:r>
    </w:p>
    <w:p w14:paraId="01196E26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Dr Thomas Van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Boeckel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, Assistant Professor, ETH Zurich - </w:t>
      </w:r>
      <w:hyperlink r:id="rId6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47A36339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1050</w:t>
      </w:r>
    </w:p>
    <w:p w14:paraId="62225D1E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State of the World’s Antibiotics in 2021</w:t>
      </w:r>
    </w:p>
    <w:p w14:paraId="5B5B4447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Professor Ramanan Laxminarayan, Director, CDDEP - </w:t>
      </w:r>
      <w:hyperlink r:id="rId7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575745B6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1110</w:t>
      </w:r>
    </w:p>
    <w:p w14:paraId="4A1A42DD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Syndromic diagnostics, a golden ideal or imperfect solution</w:t>
      </w:r>
    </w:p>
    <w:p w14:paraId="6C83F9C4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Professor Matteo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Bassetti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, Infectious Diseases, Department of Health Science, University of Genoa - </w:t>
      </w:r>
      <w:hyperlink r:id="rId8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1E11BA1C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1130</w:t>
      </w:r>
    </w:p>
    <w:p w14:paraId="291D78D9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Q&amp;A</w:t>
      </w:r>
    </w:p>
    <w:p w14:paraId="6AB1EAE8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21F81B1D">
          <v:rect id="_x0000_i1027" style="width:470.3pt;height:.45pt" o:hralign="center" o:hrstd="t" o:hr="t" fillcolor="#a0a0a0" stroked="f"/>
        </w:pict>
      </w:r>
    </w:p>
    <w:p w14:paraId="468DAA76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1145</w:t>
      </w:r>
    </w:p>
    <w:p w14:paraId="43D14516" w14:textId="77777777" w:rsidR="00113E22" w:rsidRDefault="00113E22" w:rsidP="00113E22">
      <w:pPr>
        <w:rPr>
          <w:rFonts w:ascii="Helvetica" w:hAnsi="Helvetica" w:cs="Helvetica"/>
          <w:color w:val="008BD2"/>
          <w:lang w:val="en-GB"/>
        </w:rPr>
      </w:pPr>
      <w:r>
        <w:rPr>
          <w:rFonts w:ascii="Helvetica" w:hAnsi="Helvetica" w:cs="Helvetica"/>
          <w:color w:val="008BD2"/>
          <w:lang w:val="en-GB"/>
        </w:rPr>
        <w:t>REFRESHMENT BREAK, POSTER VIEWING, MEETING ROOM EVENTS</w:t>
      </w:r>
    </w:p>
    <w:p w14:paraId="4E543D20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4634E4FA">
          <v:rect id="_x0000_i1028" style="width:470.3pt;height:.45pt" o:hralign="center" o:hrstd="t" o:hr="t" fillcolor="#a0a0a0" stroked="f"/>
        </w:pict>
      </w:r>
    </w:p>
    <w:p w14:paraId="10B9D031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PARALLEL SESSIONS</w:t>
      </w:r>
    </w:p>
    <w:p w14:paraId="437499EE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Impact of AMR in challenging populations</w:t>
      </w:r>
    </w:p>
    <w:p w14:paraId="6B4206CA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1215</w:t>
      </w:r>
    </w:p>
    <w:p w14:paraId="5F0B7096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Challenges in Antimicrobial Stewardship: Rapid Diagnostics and Optimisation of Therapy Among Immunocompromised patients</w:t>
      </w:r>
    </w:p>
    <w:p w14:paraId="54EB1869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1235</w:t>
      </w:r>
    </w:p>
    <w:p w14:paraId="5A145FE4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To treat or not to treat ?..... Antimicrobial use in critically ill patients - the sepsis challenge</w:t>
      </w:r>
    </w:p>
    <w:p w14:paraId="5AAF8F4F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Professor Mervyn Singer, Professor of Intensive Care Medicine at University College London, Chair of the International Sepsis Forum</w:t>
      </w:r>
    </w:p>
    <w:p w14:paraId="1C19AF9B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1255</w:t>
      </w:r>
    </w:p>
    <w:p w14:paraId="207281FC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Non-culture diagnostics in low and middle income countries</w:t>
      </w:r>
    </w:p>
    <w:p w14:paraId="63F16E9F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Professor David Denning, Professor of Infectious Diseases in Global Health, The University of Manchester</w:t>
      </w:r>
    </w:p>
    <w:p w14:paraId="402DADF1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1315</w:t>
      </w:r>
    </w:p>
    <w:p w14:paraId="3376CAC5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Q&amp;A</w:t>
      </w:r>
    </w:p>
    <w:p w14:paraId="6F4DC7B2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Improving antimicrobial prescribing in children</w:t>
      </w:r>
    </w:p>
    <w:p w14:paraId="15F2F998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Chair: Dr Sanjay Patel, Paediatric Infectious Diseases and Immunology Consultant, Southampton Children’s Hospital - </w:t>
      </w:r>
      <w:hyperlink r:id="rId9" w:tgtFrame="_blank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255DEE7F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1215</w:t>
      </w:r>
    </w:p>
    <w:p w14:paraId="1F935368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PAS in the UK - sharing good practice</w:t>
      </w:r>
    </w:p>
    <w:p w14:paraId="71F38B61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Sanjay Patel, Paediatric Infectious Diseases and Immunology Consultant, Southampton Children’s Hospital - </w:t>
      </w:r>
      <w:hyperlink r:id="rId10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2736F6D6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lastRenderedPageBreak/>
        <w:t xml:space="preserve">Ms Liz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Corteville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, Locality Lead Pharmacist, Eastleigh North Test Valley South, Eastleigh Southern Parishes, Totton &amp; Waterside, Medicines Optimisation Team NHS West Hampshire Clinical Commissioning Group</w:t>
      </w:r>
    </w:p>
    <w:p w14:paraId="02A8271E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1235</w:t>
      </w:r>
    </w:p>
    <w:p w14:paraId="07F1664B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National empirical antimicrobial guidelines for children - development and implementation</w:t>
      </w:r>
    </w:p>
    <w:p w14:paraId="52EE0E29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Paddy McMaster Consultant in Paediatric Infectious Diseases, North Manchester General Hospital - </w:t>
      </w:r>
      <w:hyperlink r:id="rId11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11A20D3C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1255</w:t>
      </w:r>
    </w:p>
    <w:p w14:paraId="10E272E4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Promoting paediatric AMS - an international approach</w:t>
      </w:r>
    </w:p>
    <w:p w14:paraId="5A5E623A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Brendan McMullan, Paediatric Infectious Diseases Specialist and Microbiologist, Sydney Children’s Hospital - </w:t>
      </w:r>
      <w:hyperlink r:id="rId12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71EB3D42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1315</w:t>
      </w:r>
    </w:p>
    <w:p w14:paraId="689A0649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Q&amp;A</w:t>
      </w:r>
    </w:p>
    <w:p w14:paraId="77EFFB5A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7641228F">
          <v:rect id="_x0000_i1029" style="width:470.3pt;height:.45pt" o:hralign="center" o:hrstd="t" o:hr="t" fillcolor="#a0a0a0" stroked="f"/>
        </w:pict>
      </w:r>
    </w:p>
    <w:p w14:paraId="4C8AADEC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THREE: TITLE TO BE CONFIRMED</w:t>
      </w:r>
    </w:p>
    <w:p w14:paraId="7F3F04E2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Supported by: Shionogi</w:t>
      </w:r>
    </w:p>
    <w:p w14:paraId="2FAB3D40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1330</w:t>
      </w:r>
    </w:p>
    <w:p w14:paraId="5759907F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tbc</w:t>
      </w:r>
    </w:p>
    <w:p w14:paraId="22094695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3BD7BCB0">
          <v:rect id="_x0000_i1030" style="width:470.3pt;height:.45pt" o:hralign="center" o:hrstd="t" o:hr="t" fillcolor="#a0a0a0" stroked="f"/>
        </w:pict>
      </w:r>
    </w:p>
    <w:p w14:paraId="58E591ED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1410</w:t>
      </w:r>
    </w:p>
    <w:p w14:paraId="7A1C1C18" w14:textId="77777777" w:rsidR="00113E22" w:rsidRDefault="00113E22" w:rsidP="00113E22">
      <w:pPr>
        <w:rPr>
          <w:rFonts w:ascii="Helvetica" w:hAnsi="Helvetica" w:cs="Helvetica"/>
          <w:color w:val="008BD2"/>
          <w:lang w:val="en-GB"/>
        </w:rPr>
      </w:pPr>
      <w:r>
        <w:rPr>
          <w:rFonts w:ascii="Helvetica" w:hAnsi="Helvetica" w:cs="Helvetica"/>
          <w:color w:val="008BD2"/>
          <w:lang w:val="en-GB"/>
        </w:rPr>
        <w:t>REFRESHMENT BREAK, POSTER VIEWING, MEETING ROOM EVENTS</w:t>
      </w:r>
    </w:p>
    <w:p w14:paraId="236EAD3F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1430</w:t>
      </w:r>
    </w:p>
    <w:p w14:paraId="67F90C59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BSAC AGM</w:t>
      </w:r>
    </w:p>
    <w:p w14:paraId="585B9097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5E6E85C6">
          <v:rect id="_x0000_i1031" style="width:470.3pt;height:.45pt" o:hralign="center" o:hrstd="t" o:hr="t" fillcolor="#a0a0a0" stroked="f"/>
        </w:pict>
      </w:r>
    </w:p>
    <w:p w14:paraId="4BC6DE07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FOUR: TITLE TO BE CONFIRMED</w:t>
      </w:r>
    </w:p>
    <w:p w14:paraId="27407EF9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Supported by: Pfizer</w:t>
      </w:r>
    </w:p>
    <w:p w14:paraId="7053D46C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1450</w:t>
      </w:r>
    </w:p>
    <w:p w14:paraId="5B091564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tbc</w:t>
      </w:r>
    </w:p>
    <w:p w14:paraId="0686755F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510EF4F7">
          <v:rect id="_x0000_i1032" style="width:470.3pt;height:.45pt" o:hralign="center" o:hrstd="t" o:hr="t" fillcolor="#a0a0a0" stroked="f"/>
        </w:pict>
      </w:r>
    </w:p>
    <w:p w14:paraId="6F518165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FIVE: RESISTANCE GAME CHANGERS AND CHALLENGES</w:t>
      </w:r>
    </w:p>
    <w:p w14:paraId="24DDEF43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Chair: Dr David Jenkins, Lead Infection Prevention Clinician, University Hospital Leicester &amp; BSAC Vice-President</w:t>
      </w:r>
    </w:p>
    <w:p w14:paraId="7130A2A5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1530</w:t>
      </w:r>
    </w:p>
    <w:p w14:paraId="71DC94D1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Infection prevention - a cornerstone of successful stewardship</w:t>
      </w:r>
    </w:p>
    <w:p w14:paraId="3645FFF3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1550</w:t>
      </w:r>
    </w:p>
    <w:p w14:paraId="3678E804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Prevention through vaccination</w:t>
      </w:r>
    </w:p>
    <w:p w14:paraId="5769BA04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1610</w:t>
      </w:r>
    </w:p>
    <w:p w14:paraId="0E12201F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Community pharmacy and the challenge of OTC distribution</w:t>
      </w:r>
    </w:p>
    <w:p w14:paraId="6866F19E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Dr Abdul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Ghafur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, Coordinator, Chennai Declaration on AMR Apollo Adjunct, Professor Consultant in Infectious Diseases, Apollo Cancer Institute, India</w:t>
      </w:r>
    </w:p>
    <w:p w14:paraId="5050289E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1630</w:t>
      </w:r>
    </w:p>
    <w:p w14:paraId="2E3316A8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Panel discussion / Q&amp;A</w:t>
      </w:r>
    </w:p>
    <w:p w14:paraId="78F8FC07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45D8811F">
          <v:rect id="_x0000_i1033" style="width:470.3pt;height:.45pt" o:hralign="center" o:hrstd="t" o:hr="t" fillcolor="#a0a0a0" stroked="f"/>
        </w:pict>
      </w:r>
    </w:p>
    <w:p w14:paraId="02E97FF3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SIX: LATE BREAKER SESSION</w:t>
      </w:r>
    </w:p>
    <w:p w14:paraId="52DE33DD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1645</w:t>
      </w:r>
    </w:p>
    <w:p w14:paraId="31789408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tbc</w:t>
      </w:r>
    </w:p>
    <w:p w14:paraId="79D3D337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1745</w:t>
      </w:r>
    </w:p>
    <w:p w14:paraId="4E5ADCCA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Panel discussion / Q&amp;A</w:t>
      </w:r>
    </w:p>
    <w:p w14:paraId="0ED51C4F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1DDE507D">
          <v:rect id="_x0000_i1034" style="width:470.3pt;height:.45pt" o:hralign="center" o:hrstd="t" o:hr="t" fillcolor="#a0a0a0" stroked="f"/>
        </w:pict>
      </w:r>
    </w:p>
    <w:p w14:paraId="20ABBDE5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1800</w:t>
      </w:r>
    </w:p>
    <w:p w14:paraId="77A0C0B2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Day one close</w:t>
      </w:r>
    </w:p>
    <w:p w14:paraId="6D0D69F1" w14:textId="77777777" w:rsidR="00113E22" w:rsidRDefault="00113E22" w:rsidP="00113E22">
      <w:pPr>
        <w:rPr>
          <w:color w:val="1F497D"/>
          <w:lang w:val="en-GB"/>
        </w:rPr>
      </w:pPr>
    </w:p>
    <w:p w14:paraId="36A6375D" w14:textId="77777777" w:rsidR="00113E22" w:rsidRDefault="00113E22" w:rsidP="00113E22">
      <w:pPr>
        <w:rPr>
          <w:color w:val="1F497D"/>
          <w:lang w:val="en-GB"/>
        </w:rPr>
      </w:pPr>
    </w:p>
    <w:p w14:paraId="21A6CB85" w14:textId="77777777" w:rsidR="00113E22" w:rsidRDefault="00113E22" w:rsidP="00113E22">
      <w:pPr>
        <w:rPr>
          <w:color w:val="1F497D"/>
          <w:lang w:val="en-GB"/>
        </w:rPr>
      </w:pPr>
    </w:p>
    <w:p w14:paraId="16DA73E7" w14:textId="77777777" w:rsidR="00113E22" w:rsidRDefault="00113E22" w:rsidP="00113E22">
      <w:pPr>
        <w:rPr>
          <w:color w:val="1F497D"/>
          <w:lang w:val="en-GB"/>
        </w:rPr>
      </w:pPr>
    </w:p>
    <w:p w14:paraId="559D1C70" w14:textId="77777777" w:rsidR="00113E22" w:rsidRDefault="00113E22" w:rsidP="00113E22">
      <w:pPr>
        <w:spacing w:after="160" w:line="259" w:lineRule="auto"/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br w:type="page"/>
      </w:r>
    </w:p>
    <w:p w14:paraId="0758E562" w14:textId="77777777" w:rsidR="00113E22" w:rsidRDefault="00113E22" w:rsidP="00113E22">
      <w:pPr>
        <w:pStyle w:val="Kop2"/>
        <w:rPr>
          <w:lang w:val="en-GB"/>
        </w:rPr>
      </w:pPr>
      <w:r>
        <w:rPr>
          <w:lang w:val="en-GB"/>
        </w:rPr>
        <w:lastRenderedPageBreak/>
        <w:t xml:space="preserve">30 </w:t>
      </w:r>
      <w:proofErr w:type="spellStart"/>
      <w:r>
        <w:rPr>
          <w:lang w:val="en-GB"/>
        </w:rPr>
        <w:t>april</w:t>
      </w:r>
      <w:proofErr w:type="spellEnd"/>
      <w:r>
        <w:rPr>
          <w:lang w:val="en-GB"/>
        </w:rPr>
        <w:t xml:space="preserve"> 2021</w:t>
      </w:r>
    </w:p>
    <w:p w14:paraId="78649B44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</w:p>
    <w:p w14:paraId="46A58886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 w:eastAsia="nl-NL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0850</w:t>
      </w:r>
    </w:p>
    <w:p w14:paraId="57734A3B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Welcome and opening remarks</w:t>
      </w:r>
    </w:p>
    <w:p w14:paraId="7CF39332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74C29729">
          <v:rect id="_x0000_i1035" style="width:470.3pt;height:.45pt" o:hralign="center" o:hrstd="t" o:hr="t" fillcolor="#a0a0a0" stroked="f"/>
        </w:pict>
      </w:r>
    </w:p>
    <w:p w14:paraId="2762D63C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SEVEN: DRUGS, DEVICES AND DIAGNOSTICS - THE NEW FRONTIERS</w:t>
      </w:r>
    </w:p>
    <w:p w14:paraId="15C17306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Chair: Dr Jacqueline Sneddon, Project lead for Scottish Antimicrobial Prescribing Group, Healthcare Improvement Scotland - </w:t>
      </w:r>
      <w:hyperlink r:id="rId13" w:tgtFrame="_blank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39665BA3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0900</w:t>
      </w:r>
    </w:p>
    <w:p w14:paraId="26D6475F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What makes a good AMR diagnostic test?</w:t>
      </w:r>
    </w:p>
    <w:p w14:paraId="057CC21C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Nick Brown, Consultant Microbiologist, Cambridge University Hospitals NHS Trust - </w:t>
      </w:r>
      <w:hyperlink r:id="rId14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1E2F614C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0920</w:t>
      </w:r>
    </w:p>
    <w:p w14:paraId="1AB47222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Management of VAP in the Critical Care Setting</w:t>
      </w:r>
    </w:p>
    <w:p w14:paraId="178B4DCF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Sunny Kaul, Head of Lung Division, Consultant in ICU and Respiratory Medicine, Royal Brompton &amp; Harefield Hospitals - </w:t>
      </w:r>
      <w:hyperlink r:id="rId15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5634AE4D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0940</w:t>
      </w:r>
    </w:p>
    <w:p w14:paraId="3E0FB157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The management of urogenital infections - targeted PCT or syndromic management?</w:t>
      </w:r>
    </w:p>
    <w:p w14:paraId="7B13299F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Dr.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 Janneke van de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Wijgert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, Professor Institute of Infection, Veterinary and Ecological Sciences, University of Liverpool, Julius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Center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 for Health Sciences and Primary Care, University Medical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Center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 Utrecht, Utrecht University, the Netherlands - </w:t>
      </w:r>
      <w:hyperlink r:id="rId16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2930C2DB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1000</w:t>
      </w:r>
    </w:p>
    <w:p w14:paraId="4EB01C68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The critical role of diagnostics: a practical example of biomarkers in diagnosis of infectious disease</w:t>
      </w:r>
    </w:p>
    <w:p w14:paraId="553E9B3F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1020</w:t>
      </w:r>
    </w:p>
    <w:p w14:paraId="5DD69514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Panel discussion</w:t>
      </w:r>
    </w:p>
    <w:p w14:paraId="0C220E44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682DF23C">
          <v:rect id="_x0000_i1036" style="width:470.3pt;height:.45pt" o:hralign="center" o:hrstd="t" o:hr="t" fillcolor="#a0a0a0" stroked="f"/>
        </w:pict>
      </w:r>
    </w:p>
    <w:p w14:paraId="1189ECB2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1035</w:t>
      </w:r>
    </w:p>
    <w:p w14:paraId="734A1FA9" w14:textId="77777777" w:rsidR="00113E22" w:rsidRDefault="00113E22" w:rsidP="00113E22">
      <w:pPr>
        <w:rPr>
          <w:rFonts w:ascii="Helvetica" w:hAnsi="Helvetica" w:cs="Helvetica"/>
          <w:color w:val="008BD2"/>
          <w:lang w:val="en-GB"/>
        </w:rPr>
      </w:pPr>
      <w:r>
        <w:rPr>
          <w:rFonts w:ascii="Helvetica" w:hAnsi="Helvetica" w:cs="Helvetica"/>
          <w:color w:val="008BD2"/>
          <w:lang w:val="en-GB"/>
        </w:rPr>
        <w:t>REFRESHMENT BREAK, POSTER VIEWING, MEETING ROOM EVENTS</w:t>
      </w:r>
    </w:p>
    <w:p w14:paraId="7DAD7CAB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45B2C8D4">
          <v:rect id="_x0000_i1037" style="width:470.3pt;height:.45pt" o:hralign="center" o:hrstd="t" o:hr="t" fillcolor="#a0a0a0" stroked="f"/>
        </w:pict>
      </w:r>
    </w:p>
    <w:p w14:paraId="0394AA14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EIGHT: HOT TOPICS</w:t>
      </w:r>
    </w:p>
    <w:p w14:paraId="794D81C7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1100</w:t>
      </w:r>
    </w:p>
    <w:p w14:paraId="2D789832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 xml:space="preserve">Access to medicines - </w:t>
      </w:r>
      <w:proofErr w:type="spellStart"/>
      <w:r>
        <w:rPr>
          <w:rFonts w:ascii="Helvetica" w:hAnsi="Helvetica" w:cs="Helvetica"/>
          <w:color w:val="222222"/>
          <w:lang w:val="en-GB"/>
        </w:rPr>
        <w:t>delinkage</w:t>
      </w:r>
      <w:proofErr w:type="spellEnd"/>
      <w:r>
        <w:rPr>
          <w:rFonts w:ascii="Helvetica" w:hAnsi="Helvetica" w:cs="Helvetica"/>
          <w:color w:val="222222"/>
          <w:lang w:val="en-GB"/>
        </w:rPr>
        <w:t xml:space="preserve"> and shortages</w:t>
      </w:r>
    </w:p>
    <w:p w14:paraId="06737508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1120</w:t>
      </w:r>
    </w:p>
    <w:p w14:paraId="165D7698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Moving the needle - promoting vaccination uptake across the life course</w:t>
      </w:r>
    </w:p>
    <w:p w14:paraId="1A9B7206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1140</w:t>
      </w:r>
    </w:p>
    <w:p w14:paraId="58720A9F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AMR in humanitarian crises and use of tele-microbiology </w:t>
      </w:r>
    </w:p>
    <w:p w14:paraId="2A0E69AD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1200</w:t>
      </w:r>
    </w:p>
    <w:p w14:paraId="05F8EB9E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Panel discussion</w:t>
      </w:r>
    </w:p>
    <w:p w14:paraId="3973B0BD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76CF4F78">
          <v:rect id="_x0000_i1038" style="width:470.3pt;height:.45pt" o:hralign="center" o:hrstd="t" o:hr="t" fillcolor="#a0a0a0" stroked="f"/>
        </w:pict>
      </w:r>
    </w:p>
    <w:p w14:paraId="2650202C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NINE: TITLE TO BE CONFIRMED</w:t>
      </w:r>
    </w:p>
    <w:p w14:paraId="6AEF05D5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Supported by: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Menarini</w:t>
      </w:r>
      <w:proofErr w:type="spellEnd"/>
    </w:p>
    <w:p w14:paraId="6EBFB204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1220</w:t>
      </w:r>
    </w:p>
    <w:p w14:paraId="4B1D242F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tbc</w:t>
      </w:r>
    </w:p>
    <w:p w14:paraId="38020C18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0A28A25D">
          <v:rect id="_x0000_i1039" style="width:470.3pt;height:.45pt" o:hralign="center" o:hrstd="t" o:hr="t" fillcolor="#a0a0a0" stroked="f"/>
        </w:pict>
      </w:r>
    </w:p>
    <w:p w14:paraId="4196D993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TEN: PARALELL SESSIONS</w:t>
      </w:r>
    </w:p>
    <w:p w14:paraId="5325A29C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Chair: Dr Nick Brown, Consultant Microbiologist, Cambridge University Hospitals NHS Trust - </w:t>
      </w:r>
      <w:hyperlink r:id="rId17" w:tgtFrame="_blank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65DC1C14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Clinical quandaries - case based presentations on global challenges</w:t>
      </w:r>
    </w:p>
    <w:p w14:paraId="482E0A33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1300</w:t>
      </w:r>
    </w:p>
    <w:p w14:paraId="294A25B0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 xml:space="preserve">Choose your cocktail wisely; steps to take </w:t>
      </w:r>
      <w:proofErr w:type="spellStart"/>
      <w:r>
        <w:rPr>
          <w:rFonts w:ascii="Helvetica" w:hAnsi="Helvetica" w:cs="Helvetica"/>
          <w:color w:val="222222"/>
          <w:lang w:val="en-GB"/>
        </w:rPr>
        <w:t>phages</w:t>
      </w:r>
      <w:proofErr w:type="spellEnd"/>
      <w:r>
        <w:rPr>
          <w:rFonts w:ascii="Helvetica" w:hAnsi="Helvetica" w:cs="Helvetica"/>
          <w:color w:val="222222"/>
          <w:lang w:val="en-GB"/>
        </w:rPr>
        <w:t xml:space="preserve"> closer to a clinical product</w:t>
      </w:r>
    </w:p>
    <w:p w14:paraId="1C949EA4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Professor Martha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Clokie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, Professor of Microbiology, University of Leicester - </w:t>
      </w:r>
      <w:hyperlink r:id="rId18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0C96BAEB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1320</w:t>
      </w:r>
    </w:p>
    <w:p w14:paraId="0D8D8BD6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The Fleming Fund global partnerships – implementing antimicrobial stewardship in resource limited settings, lessons for all.</w:t>
      </w:r>
    </w:p>
    <w:p w14:paraId="0A3A48A4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Jacqueline Sneddon, Project lead for Scottish Antimicrobial Prescribing Group, Healthcare Improvement Scotland - </w:t>
      </w:r>
      <w:hyperlink r:id="rId19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79018262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1340</w:t>
      </w:r>
    </w:p>
    <w:p w14:paraId="49F3DC64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Behavioural Change in AMS in diverse geographies - experience in India, South Africa, UK and Uganda</w:t>
      </w:r>
    </w:p>
    <w:p w14:paraId="2B5ACCA9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1400</w:t>
      </w:r>
    </w:p>
    <w:p w14:paraId="556A2B30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lastRenderedPageBreak/>
        <w:t>Panel discussion</w:t>
      </w:r>
    </w:p>
    <w:p w14:paraId="6507A854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Antimicrobial challenges</w:t>
      </w:r>
    </w:p>
    <w:p w14:paraId="71D17AD3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Chair: Dr Helena Parsons, Consultant Microbiologist, Sheffield Teaching Hospitals - </w:t>
      </w:r>
      <w:hyperlink r:id="rId20" w:tgtFrame="_blank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0C61E877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1300</w:t>
      </w:r>
    </w:p>
    <w:p w14:paraId="231FE1CB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Dental antimicrobial stewardship</w:t>
      </w:r>
    </w:p>
    <w:p w14:paraId="1925E3F1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1320</w:t>
      </w:r>
    </w:p>
    <w:p w14:paraId="5DA65B0F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Antimicrobial stewardship in veterinary practice  - the challenges and the opportunities</w:t>
      </w:r>
    </w:p>
    <w:p w14:paraId="5200255E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1340</w:t>
      </w:r>
    </w:p>
    <w:p w14:paraId="6AA65599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Antifungal stewardship in critical care: Implementing a diagnostics driven care pathway</w:t>
      </w:r>
    </w:p>
    <w:p w14:paraId="0A2EAF3E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1400</w:t>
      </w:r>
    </w:p>
    <w:p w14:paraId="3C059D23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Panel discussion</w:t>
      </w:r>
    </w:p>
    <w:p w14:paraId="3E6A29B9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53E96F53">
          <v:rect id="_x0000_i1040" style="width:470.3pt;height:.45pt" o:hralign="center" o:hrstd="t" o:hr="t" fillcolor="#a0a0a0" stroked="f"/>
        </w:pict>
      </w:r>
    </w:p>
    <w:p w14:paraId="09CF682A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1420</w:t>
      </w:r>
    </w:p>
    <w:p w14:paraId="74DBD172" w14:textId="77777777" w:rsidR="00113E22" w:rsidRDefault="00113E22" w:rsidP="00113E22">
      <w:pPr>
        <w:rPr>
          <w:rFonts w:ascii="Helvetica" w:hAnsi="Helvetica" w:cs="Helvetica"/>
          <w:color w:val="008BD2"/>
          <w:lang w:val="en-GB"/>
        </w:rPr>
      </w:pPr>
      <w:r>
        <w:rPr>
          <w:rFonts w:ascii="Helvetica" w:hAnsi="Helvetica" w:cs="Helvetica"/>
          <w:color w:val="008BD2"/>
          <w:lang w:val="en-GB"/>
        </w:rPr>
        <w:t>LUNCH, NETWORKING &amp; POSTER VIEWING</w:t>
      </w:r>
    </w:p>
    <w:p w14:paraId="2FFEF97A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3D609D11">
          <v:rect id="_x0000_i1041" style="width:470.3pt;height:.45pt" o:hralign="center" o:hrstd="t" o:hr="t" fillcolor="#a0a0a0" stroked="f"/>
        </w:pict>
      </w:r>
    </w:p>
    <w:p w14:paraId="63B588EC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ELEVEN: TITLE TO BE CONFIRMED</w:t>
      </w:r>
    </w:p>
    <w:p w14:paraId="4652AA23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Supported by: Pfizer</w:t>
      </w:r>
    </w:p>
    <w:p w14:paraId="6C55E9D6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1500</w:t>
      </w:r>
    </w:p>
    <w:p w14:paraId="36F8B0E0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tbc</w:t>
      </w:r>
    </w:p>
    <w:p w14:paraId="7DA65E35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3E766DD1">
          <v:rect id="_x0000_i1042" style="width:470.3pt;height:.45pt" o:hralign="center" o:hrstd="t" o:hr="t" fillcolor="#a0a0a0" stroked="f"/>
        </w:pict>
      </w:r>
    </w:p>
    <w:p w14:paraId="7279197A" w14:textId="77777777" w:rsidR="00113E22" w:rsidRDefault="00113E22" w:rsidP="00113E22">
      <w:pP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  <w:lang w:val="en-GB"/>
        </w:rPr>
        <w:t>SESSION TWELVE: PANEL DISCUSSION</w:t>
      </w:r>
    </w:p>
    <w:p w14:paraId="2AD351D6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Chair: Professor Colm Leonard, Consultant Thoracic/Transplant Physician Honorary Professor of Respiratory Medicine, MAHSC Manchester University NHS Foundation Trust - </w:t>
      </w:r>
      <w:hyperlink r:id="rId21" w:tgtFrame="_blank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07F7439B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1525</w:t>
      </w:r>
    </w:p>
    <w:p w14:paraId="33E94203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UK REIMBURSEMENT MODEL - A PERFECT PULL INCENTIVE?</w:t>
      </w:r>
    </w:p>
    <w:p w14:paraId="1696497B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Professor Philip Howard OBE, Consultant Antimicrobial Pharmacist, Leeds Teaching Hospitals and University of Leeds - </w:t>
      </w:r>
      <w:hyperlink r:id="rId22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1E8DA5BD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Dr Nick Brown, Consultant Microbiologist, Cambridge University Hospitals NHS Trust - </w:t>
      </w:r>
      <w:hyperlink r:id="rId23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3B1C0406" w14:textId="77777777" w:rsidR="00113E22" w:rsidRDefault="00113E22" w:rsidP="00113E22">
      <w:pP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 xml:space="preserve">Professor Alistair </w:t>
      </w:r>
      <w:proofErr w:type="spellStart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Leanord</w:t>
      </w:r>
      <w:proofErr w:type="spellEnd"/>
      <w:r>
        <w:rPr>
          <w:rFonts w:ascii="Helvetica" w:hAnsi="Helvetica" w:cs="Helvetica"/>
          <w:i/>
          <w:iCs/>
          <w:color w:val="222222"/>
          <w:sz w:val="19"/>
          <w:szCs w:val="19"/>
          <w:lang w:val="en-GB"/>
        </w:rPr>
        <w:t>, Microbiologist, NHS GGC - </w:t>
      </w:r>
      <w:hyperlink r:id="rId24" w:history="1">
        <w:r>
          <w:rPr>
            <w:rStyle w:val="Hyperlink"/>
            <w:rFonts w:ascii="Helvetica" w:hAnsi="Helvetica" w:cs="Helvetica"/>
            <w:i/>
            <w:iCs/>
            <w:color w:val="008CBA"/>
            <w:sz w:val="19"/>
            <w:szCs w:val="19"/>
            <w:lang w:val="en-GB"/>
          </w:rPr>
          <w:t>View Bio</w:t>
        </w:r>
      </w:hyperlink>
    </w:p>
    <w:p w14:paraId="3CD33525" w14:textId="77777777" w:rsidR="00113E22" w:rsidRDefault="00113E22" w:rsidP="00113E22">
      <w:pPr>
        <w:jc w:val="center"/>
        <w:rPr>
          <w:rFonts w:ascii="Helvetica" w:eastAsia="Times New Roman" w:hAnsi="Helvetica" w:cs="Helvetica"/>
          <w:color w:val="222222"/>
          <w:lang w:val="en-GB"/>
        </w:rPr>
      </w:pPr>
      <w:r>
        <w:rPr>
          <w:rFonts w:ascii="Helvetica" w:eastAsia="Times New Roman" w:hAnsi="Helvetica" w:cs="Helvetica"/>
          <w:color w:val="222222"/>
          <w:lang w:val="en-GB"/>
        </w:rPr>
        <w:pict w14:anchorId="605FC031">
          <v:rect id="_x0000_i1043" style="width:470.3pt;height:.45pt" o:hralign="center" o:hrstd="t" o:hr="t" fillcolor="#a0a0a0" stroked="f"/>
        </w:pict>
      </w:r>
    </w:p>
    <w:p w14:paraId="0DAA938D" w14:textId="77777777" w:rsidR="00113E22" w:rsidRDefault="00113E22" w:rsidP="00113E22">
      <w:pPr>
        <w:rPr>
          <w:rFonts w:ascii="Helvetica" w:hAnsi="Helvetica" w:cs="Helvetica"/>
          <w:color w:val="222222"/>
          <w:sz w:val="19"/>
          <w:szCs w:val="19"/>
          <w:lang w:val="en-GB"/>
        </w:rPr>
      </w:pPr>
      <w:r>
        <w:rPr>
          <w:rFonts w:ascii="Helvetica" w:hAnsi="Helvetica" w:cs="Helvetica"/>
          <w:color w:val="222222"/>
          <w:sz w:val="19"/>
          <w:szCs w:val="19"/>
          <w:lang w:val="en-GB"/>
        </w:rPr>
        <w:t>1615</w:t>
      </w:r>
    </w:p>
    <w:p w14:paraId="63EB4A28" w14:textId="77777777" w:rsidR="00113E22" w:rsidRDefault="00113E22" w:rsidP="00113E22">
      <w:pPr>
        <w:rPr>
          <w:rFonts w:ascii="Helvetica" w:hAnsi="Helvetica" w:cs="Helvetica"/>
          <w:color w:val="222222"/>
          <w:lang w:val="en-GB"/>
        </w:rPr>
      </w:pPr>
      <w:r>
        <w:rPr>
          <w:rFonts w:ascii="Helvetica" w:hAnsi="Helvetica" w:cs="Helvetica"/>
          <w:color w:val="222222"/>
          <w:lang w:val="en-GB"/>
        </w:rPr>
        <w:t>Closing remarks</w:t>
      </w:r>
    </w:p>
    <w:p w14:paraId="5488DABD" w14:textId="77777777" w:rsidR="00113E22" w:rsidRDefault="00113E22" w:rsidP="00113E22">
      <w:pPr>
        <w:rPr>
          <w:color w:val="1F497D"/>
          <w:lang w:val="en-GB"/>
        </w:rPr>
      </w:pPr>
    </w:p>
    <w:p w14:paraId="213C6851" w14:textId="77777777" w:rsidR="00113E22" w:rsidRPr="00216377" w:rsidRDefault="00113E22" w:rsidP="00113E22">
      <w:pPr>
        <w:rPr>
          <w:lang w:val="en"/>
        </w:rPr>
      </w:pPr>
    </w:p>
    <w:p w14:paraId="5FB18FB8" w14:textId="77777777" w:rsidR="00113E22" w:rsidRDefault="00113E22"/>
    <w:sectPr w:rsidR="0011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2"/>
    <w:rsid w:val="00113E22"/>
    <w:rsid w:val="005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C1F"/>
  <w15:chartTrackingRefBased/>
  <w15:docId w15:val="{E32CEE77-B9B7-4F39-893D-8B48624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3E22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113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3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3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113E22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13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c-conference.com/speaker/professor-matteo-bassetti/" TargetMode="External"/><Relationship Id="rId13" Type="http://schemas.openxmlformats.org/officeDocument/2006/relationships/hyperlink" Target="http://www.bsac-conference.com/speaker/dr-jacqueline-sneddon/" TargetMode="External"/><Relationship Id="rId18" Type="http://schemas.openxmlformats.org/officeDocument/2006/relationships/hyperlink" Target="http://www.bsac-conference.com/speaker/professor-martha-cloki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sac-conference.com/speaker/professor-colm-leonard/" TargetMode="External"/><Relationship Id="rId7" Type="http://schemas.openxmlformats.org/officeDocument/2006/relationships/hyperlink" Target="http://www.bsac-conference.com/speaker/ramanan-laxminarayan/" TargetMode="External"/><Relationship Id="rId12" Type="http://schemas.openxmlformats.org/officeDocument/2006/relationships/hyperlink" Target="http://www.bsac-conference.com/speaker/dr-brendan-mcmullan/" TargetMode="External"/><Relationship Id="rId17" Type="http://schemas.openxmlformats.org/officeDocument/2006/relationships/hyperlink" Target="http://www.bsac-conference.com/speaker/dr-nick-brow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sac-conference.com/speaker/dr-janneke-van-de-wijgert/" TargetMode="External"/><Relationship Id="rId20" Type="http://schemas.openxmlformats.org/officeDocument/2006/relationships/hyperlink" Target="http://www.bsac-conference.com/speaker/dr-helena-parsons/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bsac-conference.com/speaker/thomas-van-boeckel/" TargetMode="External"/><Relationship Id="rId11" Type="http://schemas.openxmlformats.org/officeDocument/2006/relationships/hyperlink" Target="http://www.bsac-conference.com/speaker/dr-paddy-mcmaster/" TargetMode="External"/><Relationship Id="rId24" Type="http://schemas.openxmlformats.org/officeDocument/2006/relationships/hyperlink" Target="http://www.bsac-conference.com/speaker/professor-alistair-leanord/" TargetMode="External"/><Relationship Id="rId5" Type="http://schemas.openxmlformats.org/officeDocument/2006/relationships/hyperlink" Target="http://www.bsac-conference.com/speaker/dr-nick-brown/" TargetMode="External"/><Relationship Id="rId15" Type="http://schemas.openxmlformats.org/officeDocument/2006/relationships/hyperlink" Target="http://www.bsac-conference.com/speaker/dr-sunny-kaul/" TargetMode="External"/><Relationship Id="rId23" Type="http://schemas.openxmlformats.org/officeDocument/2006/relationships/hyperlink" Target="http://www.bsac-conference.com/speaker/dr-nick-brown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bsac-conference.com/speaker/dr-sanjay-patel/" TargetMode="External"/><Relationship Id="rId19" Type="http://schemas.openxmlformats.org/officeDocument/2006/relationships/hyperlink" Target="http://www.bsac-conference.com/speaker/dr-jacqueline-sneddon/" TargetMode="External"/><Relationship Id="rId4" Type="http://schemas.openxmlformats.org/officeDocument/2006/relationships/hyperlink" Target="http://www.bsac-conference.com/speaker/dr-susan-hopkins/" TargetMode="External"/><Relationship Id="rId9" Type="http://schemas.openxmlformats.org/officeDocument/2006/relationships/hyperlink" Target="http://www.bsac-conference.com/speaker/dr-sanjay-patel/" TargetMode="External"/><Relationship Id="rId14" Type="http://schemas.openxmlformats.org/officeDocument/2006/relationships/hyperlink" Target="http://www.bsac-conference.com/speaker/dr-nick-brown/" TargetMode="External"/><Relationship Id="rId22" Type="http://schemas.openxmlformats.org/officeDocument/2006/relationships/hyperlink" Target="http://www.bsac-conference.com/speaker/professor-philip-howard/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71498-5E10-49DE-A73B-B38293A1A96C}"/>
</file>

<file path=customXml/itemProps2.xml><?xml version="1.0" encoding="utf-8"?>
<ds:datastoreItem xmlns:ds="http://schemas.openxmlformats.org/officeDocument/2006/customXml" ds:itemID="{3496DBDD-FB03-4A4F-A8A7-2F33780D58CB}"/>
</file>

<file path=customXml/itemProps3.xml><?xml version="1.0" encoding="utf-8"?>
<ds:datastoreItem xmlns:ds="http://schemas.openxmlformats.org/officeDocument/2006/customXml" ds:itemID="{D4BB5436-460A-4430-BAF9-9DE5DDB6C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1288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2021-03-23T10:41:00Z</dcterms:created>
  <dcterms:modified xsi:type="dcterms:W3CDTF">2021-03-23T11:04:00Z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